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8B" w:rsidRDefault="0066358B" w:rsidP="0066358B">
      <w:pPr>
        <w:widowControl w:val="0"/>
        <w:tabs>
          <w:tab w:val="center" w:pos="5040"/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ab/>
        <w:t>WORKSHEET — Request for a New Course</w:t>
      </w:r>
      <w:r>
        <w:rPr>
          <w:rFonts w:ascii="Helvetica" w:hAnsi="Helvetica" w:cs="Helvetica"/>
          <w:b/>
          <w:bCs/>
          <w:sz w:val="28"/>
          <w:szCs w:val="28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>Version 1.3</w:t>
      </w:r>
    </w:p>
    <w:p w:rsidR="0066358B" w:rsidRDefault="0066358B" w:rsidP="0066358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66358B" w:rsidRDefault="0066358B" w:rsidP="0066358B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** Place your pointer on the underlined fields and start typing to fill in text, ** or use an X or a number to fill in “check-box” or numbered fields</w:t>
      </w:r>
      <w:proofErr w:type="gramStart"/>
      <w:r>
        <w:rPr>
          <w:rFonts w:ascii="Gill Sans" w:hAnsi="Gill Sans" w:cs="Gill Sans"/>
          <w:sz w:val="22"/>
          <w:szCs w:val="22"/>
        </w:rPr>
        <w:t>. </w:t>
      </w:r>
      <w:proofErr w:type="gramEnd"/>
    </w:p>
    <w:p w:rsidR="0066358B" w:rsidRDefault="0066358B" w:rsidP="0066358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Provide information requested below that is not contained in the syllabus.  Please note the guidelines in the boxes.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2"/>
          <w:szCs w:val="22"/>
        </w:rPr>
        <w:t>Number (if known):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Helvetica" w:hAnsi="Helvetica" w:cs="Helvetica"/>
          <w:b/>
          <w:bCs/>
          <w:sz w:val="22"/>
          <w:szCs w:val="22"/>
        </w:rPr>
        <w:t xml:space="preserve"> Undergraduate     </w:t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Helvetica" w:hAnsi="Helvetica" w:cs="Helvetica"/>
          <w:b/>
          <w:bCs/>
          <w:sz w:val="22"/>
          <w:szCs w:val="22"/>
        </w:rPr>
        <w:t xml:space="preserve"> Graduate     </w:t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Helvetica" w:hAnsi="Helvetica" w:cs="Helvetica"/>
          <w:b/>
          <w:bCs/>
          <w:sz w:val="22"/>
          <w:szCs w:val="22"/>
        </w:rPr>
        <w:t xml:space="preserve"> Professional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u w:val="single"/>
        </w:rPr>
      </w:pPr>
    </w:p>
    <w:p w:rsidR="0066358B" w:rsidRDefault="0066358B" w:rsidP="0066358B">
      <w:pPr>
        <w:widowControl w:val="0"/>
        <w:tabs>
          <w:tab w:val="right" w:pos="10080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Title/subtitle: 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tabs>
          <w:tab w:val="left" w:pos="1440"/>
          <w:tab w:val="left" w:pos="3600"/>
          <w:tab w:val="right" w:pos="9990"/>
        </w:tabs>
        <w:autoSpaceDE w:val="0"/>
        <w:autoSpaceDN w:val="0"/>
        <w:adjustRightInd w:val="0"/>
        <w:ind w:left="1152" w:hanging="115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2"/>
          <w:szCs w:val="22"/>
        </w:rPr>
        <w:t>Effective</w:t>
      </w:r>
      <w:r>
        <w:rPr>
          <w:rFonts w:ascii="Helvetica" w:hAnsi="Helvetica" w:cs="Helvetica"/>
          <w:b/>
          <w:bCs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(</w:t>
      </w:r>
      <w:r>
        <w:rPr>
          <w:rFonts w:ascii="Helvetica" w:hAnsi="Helvetica" w:cs="Helvetica"/>
          <w:sz w:val="20"/>
          <w:szCs w:val="20"/>
        </w:rPr>
        <w:t>Quarter and Year)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:rsidR="0066358B" w:rsidRDefault="0066358B" w:rsidP="0066358B">
      <w:pPr>
        <w:widowControl w:val="0"/>
        <w:tabs>
          <w:tab w:val="right" w:pos="9990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Offered: </w:t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b/>
          <w:bCs/>
          <w:sz w:val="22"/>
          <w:szCs w:val="22"/>
        </w:rPr>
        <w:t>Fall</w:t>
      </w:r>
      <w:proofErr w:type="gramEnd"/>
      <w:r>
        <w:rPr>
          <w:rFonts w:ascii="Helvetica" w:hAnsi="Helvetica" w:cs="Helvetica"/>
          <w:b/>
          <w:bCs/>
          <w:sz w:val="22"/>
          <w:szCs w:val="22"/>
        </w:rPr>
        <w:t xml:space="preserve">   </w:t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Helvetica" w:hAnsi="Helvetica" w:cs="Helvetica"/>
          <w:b/>
          <w:bCs/>
          <w:sz w:val="22"/>
          <w:szCs w:val="22"/>
        </w:rPr>
        <w:t xml:space="preserve"> Winter   </w:t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Helvetica" w:hAnsi="Helvetica" w:cs="Helvetica"/>
          <w:b/>
          <w:bCs/>
          <w:sz w:val="22"/>
          <w:szCs w:val="22"/>
        </w:rPr>
        <w:t xml:space="preserve"> Spring   </w:t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Helvetica" w:hAnsi="Helvetica" w:cs="Helvetica"/>
          <w:b/>
          <w:bCs/>
          <w:sz w:val="22"/>
          <w:szCs w:val="22"/>
        </w:rPr>
        <w:t xml:space="preserve"> Summer   </w:t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Helvetica" w:hAnsi="Helvetica" w:cs="Helvetica"/>
          <w:b/>
          <w:bCs/>
          <w:sz w:val="22"/>
          <w:szCs w:val="22"/>
        </w:rPr>
        <w:t xml:space="preserve"> Once Only   </w:t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Helvetica" w:hAnsi="Helvetica" w:cs="Helvetica"/>
          <w:b/>
          <w:bCs/>
          <w:sz w:val="22"/>
          <w:szCs w:val="22"/>
        </w:rPr>
        <w:t xml:space="preserve"> Other</w:t>
      </w:r>
      <w:r>
        <w:rPr>
          <w:rFonts w:ascii="Helvetica" w:hAnsi="Helvetica" w:cs="Helvetica"/>
          <w:b/>
          <w:bCs/>
          <w:sz w:val="20"/>
          <w:szCs w:val="20"/>
        </w:rPr>
        <w:t> 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tabs>
          <w:tab w:val="right" w:pos="9990"/>
        </w:tabs>
        <w:autoSpaceDE w:val="0"/>
        <w:autoSpaceDN w:val="0"/>
        <w:adjustRightInd w:val="0"/>
        <w:spacing w:after="120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b/>
          <w:bCs/>
          <w:sz w:val="22"/>
          <w:szCs w:val="22"/>
        </w:rPr>
        <w:t>Instructor(s):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 Hours per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</w:rPr>
        <w:t>week per unit of credit may not be less than but may exceed those listed below.</w:t>
      </w:r>
    </w:p>
    <w:p w:rsidR="0066358B" w:rsidRDefault="0066358B" w:rsidP="0066358B">
      <w:pPr>
        <w:widowControl w:val="0"/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Times" w:hAnsi="Times" w:cs="Times"/>
          <w:sz w:val="20"/>
          <w:szCs w:val="20"/>
        </w:rPr>
      </w:pPr>
    </w:p>
    <w:p w:rsidR="0066358B" w:rsidRDefault="0066358B" w:rsidP="0066358B">
      <w:pPr>
        <w:widowControl w:val="0"/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•</w:t>
      </w:r>
      <w:r>
        <w:rPr>
          <w:rFonts w:ascii="Times" w:hAnsi="Times" w:cs="Times"/>
          <w:sz w:val="20"/>
          <w:szCs w:val="20"/>
        </w:rPr>
        <w:tab/>
      </w:r>
      <w:proofErr w:type="gramStart"/>
      <w:r>
        <w:rPr>
          <w:rFonts w:ascii="Times" w:hAnsi="Times" w:cs="Times"/>
          <w:sz w:val="20"/>
          <w:szCs w:val="20"/>
        </w:rPr>
        <w:t>One</w:t>
      </w:r>
      <w:proofErr w:type="gramEnd"/>
      <w:r>
        <w:rPr>
          <w:rFonts w:ascii="Times" w:hAnsi="Times" w:cs="Times"/>
          <w:sz w:val="20"/>
          <w:szCs w:val="20"/>
        </w:rPr>
        <w:t xml:space="preserve"> unit for each hour per week (1:1) of colloquium, consultation, discussion, lecture, seminar, or workshop</w:t>
      </w:r>
    </w:p>
    <w:p w:rsidR="0066358B" w:rsidRDefault="0066358B" w:rsidP="0066358B">
      <w:pPr>
        <w:widowControl w:val="0"/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0"/>
          <w:szCs w:val="20"/>
        </w:rPr>
      </w:pPr>
    </w:p>
    <w:p w:rsidR="0066358B" w:rsidRDefault="0066358B" w:rsidP="0066358B">
      <w:pPr>
        <w:widowControl w:val="0"/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One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unit for each three hours per week (1:3) of activity, clinic, extra reading, fieldwork, individual study, internship, laboratory, practicum, research (scheduled and outside), screening, term paper, thesis, tutorial, written work, and similar assigned problems</w:t>
      </w:r>
    </w:p>
    <w:p w:rsidR="0066358B" w:rsidRDefault="0066358B" w:rsidP="0066358B">
      <w:pPr>
        <w:widowControl w:val="0"/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0"/>
          <w:szCs w:val="20"/>
        </w:rPr>
      </w:pPr>
    </w:p>
    <w:p w:rsidR="0066358B" w:rsidRDefault="0066358B" w:rsidP="0066358B">
      <w:pPr>
        <w:widowControl w:val="0"/>
        <w:autoSpaceDE w:val="0"/>
        <w:autoSpaceDN w:val="0"/>
        <w:adjustRightInd w:val="0"/>
        <w:ind w:left="180" w:hanging="18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One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unit for each two to three hours per week (1:2-3) of studio  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:rsidR="0066358B" w:rsidRDefault="0066358B" w:rsidP="0066358B">
      <w:pPr>
        <w:widowControl w:val="0"/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2"/>
          <w:szCs w:val="22"/>
        </w:rPr>
        <w:t>Units</w:t>
      </w:r>
      <w:r>
        <w:rPr>
          <w:rFonts w:ascii="Helvetica" w:hAnsi="Helvetica" w:cs="Helvetica"/>
          <w:b/>
          <w:bCs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2"/>
          <w:szCs w:val="22"/>
        </w:rPr>
        <w:t>Activities and hours per week:</w:t>
      </w:r>
      <w:r>
        <w:rPr>
          <w:rFonts w:ascii="Times" w:hAnsi="Times" w:cs="Times"/>
          <w:sz w:val="20"/>
          <w:szCs w:val="20"/>
        </w:rPr>
        <w:t xml:space="preserve"> Indicate below the number of hours per week that students will spend in the activities listed (leave blank those that do not apply).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66358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Activity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Internship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Seminar</w:t>
            </w:r>
          </w:p>
        </w:tc>
      </w:tr>
      <w:tr w:rsidR="006635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Clinic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tabs>
                <w:tab w:val="left" w:pos="450"/>
                <w:tab w:val="left" w:pos="99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Laboratory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 xml:space="preserve">Studio </w:t>
            </w:r>
          </w:p>
        </w:tc>
      </w:tr>
      <w:tr w:rsidR="006635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Colloquium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450"/>
                <w:tab w:val="left" w:pos="99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Lecture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Term Paper</w:t>
            </w:r>
          </w:p>
        </w:tc>
      </w:tr>
      <w:tr w:rsidR="006635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Consultation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450"/>
                <w:tab w:val="left" w:pos="99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Practicum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Thesis</w:t>
            </w:r>
          </w:p>
        </w:tc>
      </w:tr>
      <w:tr w:rsidR="006635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Discussion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450"/>
                <w:tab w:val="left" w:pos="99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Research (outside)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Tutorial</w:t>
            </w:r>
          </w:p>
        </w:tc>
      </w:tr>
      <w:tr w:rsidR="006635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Extra Reading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450"/>
                <w:tab w:val="left" w:pos="99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Research (scheduled)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Workshop</w:t>
            </w:r>
          </w:p>
        </w:tc>
      </w:tr>
      <w:tr w:rsidR="006635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Field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450"/>
                <w:tab w:val="left" w:pos="99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Screening (outside)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6358B" w:rsidRDefault="0066358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Written Work</w:t>
            </w:r>
          </w:p>
        </w:tc>
      </w:tr>
      <w:tr w:rsidR="0066358B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Individual Study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tabs>
                <w:tab w:val="left" w:pos="450"/>
                <w:tab w:val="left" w:pos="99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>Screening (scheduled)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</w:t>
            </w:r>
            <w:r>
              <w:rPr>
                <w:rFonts w:ascii="Times" w:hAnsi="Times" w:cs="Times"/>
                <w:sz w:val="20"/>
                <w:szCs w:val="20"/>
              </w:rPr>
              <w:tab/>
              <w:t xml:space="preserve">Other: </w:t>
            </w:r>
            <w:r>
              <w:rPr>
                <w:rFonts w:ascii="Helvetica" w:hAnsi="Helvetica" w:cs="Helvetica"/>
                <w:sz w:val="20"/>
                <w:szCs w:val="20"/>
                <w:u w:val="single"/>
              </w:rPr>
              <w:t>___</w:t>
            </w:r>
          </w:p>
        </w:tc>
      </w:tr>
    </w:tbl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66358B" w:rsidRDefault="0066358B" w:rsidP="0066358B">
      <w:pPr>
        <w:widowControl w:val="0"/>
        <w:tabs>
          <w:tab w:val="right" w:pos="9990"/>
        </w:tabs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2"/>
          <w:szCs w:val="22"/>
        </w:rPr>
        <w:t>Prerequisite(s):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14"/>
          <w:szCs w:val="14"/>
        </w:rPr>
      </w:pPr>
    </w:p>
    <w:p w:rsidR="0066358B" w:rsidRDefault="0066358B" w:rsidP="0066358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br w:type="page"/>
      </w:r>
      <w:r>
        <w:rPr>
          <w:rFonts w:ascii="Helvetica" w:hAnsi="Helvetica" w:cs="Helvetica"/>
          <w:b/>
          <w:bCs/>
        </w:rPr>
        <w:lastRenderedPageBreak/>
        <w:t>Read the guidelines in this box before writing the Catalog description.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Write the description in the present tense and limit it to 50 words (do not count grading information, repeatability information, or a list of E-Z subtitles). If possible, do not use complete sentences. However, use sentences that contain more than a list of items or topics.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>Examples</w:t>
      </w:r>
      <w:r>
        <w:rPr>
          <w:rFonts w:ascii="Times" w:hAnsi="Times" w:cs="Times"/>
          <w:b/>
          <w:bCs/>
          <w:sz w:val="20"/>
          <w:szCs w:val="20"/>
        </w:rPr>
        <w:t>: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  <w:t xml:space="preserve">Instead of "This course will introduce students to the history of . . </w:t>
      </w:r>
      <w:proofErr w:type="gramStart"/>
      <w:r>
        <w:rPr>
          <w:rFonts w:ascii="Times" w:hAnsi="Times" w:cs="Times"/>
          <w:sz w:val="20"/>
          <w:szCs w:val="20"/>
        </w:rPr>
        <w:t>. ,</w:t>
      </w:r>
      <w:proofErr w:type="gramEnd"/>
      <w:r>
        <w:rPr>
          <w:rFonts w:ascii="Times" w:hAnsi="Times" w:cs="Times"/>
          <w:sz w:val="20"/>
          <w:szCs w:val="20"/>
        </w:rPr>
        <w:t>" use one of the following formats: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Introduces the history of . . .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An introduction to the history of . . . 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Introduction to the history of . . . 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  <w:t xml:space="preserve">Instead of “Functions, equations, and graphs,” use a format similar to one of the following examples: 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  <w:t xml:space="preserve"> </w:t>
      </w:r>
      <w:r>
        <w:rPr>
          <w:rFonts w:ascii="Times" w:hAnsi="Times" w:cs="Times"/>
          <w:sz w:val="20"/>
          <w:szCs w:val="20"/>
        </w:rPr>
        <w:tab/>
        <w:t>Explores functions, equations, and graphs . . .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Topics include functions, equations, and graphs . . .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A study of functions, equations, and graphs . . .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66358B" w:rsidRDefault="0066358B" w:rsidP="0066358B">
      <w:pPr>
        <w:widowControl w:val="0"/>
        <w:tabs>
          <w:tab w:val="right" w:pos="10080"/>
        </w:tabs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2"/>
          <w:szCs w:val="22"/>
        </w:rPr>
        <w:t>Catalog description</w:t>
      </w:r>
      <w:r>
        <w:rPr>
          <w:rFonts w:ascii="Helvetica" w:hAnsi="Helvetica" w:cs="Helvetica"/>
          <w:sz w:val="22"/>
          <w:szCs w:val="22"/>
        </w:rPr>
        <w:t>: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66358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autoSpaceDE w:val="0"/>
              <w:autoSpaceDN w:val="0"/>
              <w:adjustRightInd w:val="0"/>
              <w:rPr>
                <w:rFonts w:ascii="Zapf Dingbats" w:hAnsi="Zapf Dingbats" w:cs="Zapf Dingbats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Grading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  <w:u w:val="single"/>
              </w:rPr>
              <w:t>__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Letter Grade or petition for Satisfactory/No Credit (S/NC)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  <w:u w:val="single"/>
              </w:rPr>
              <w:t>__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Letter Grade only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  <w:u w:val="single"/>
              </w:rPr>
              <w:t>__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In Progress (IP)</w:t>
            </w:r>
          </w:p>
        </w:tc>
      </w:tr>
      <w:tr w:rsidR="0066358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autoSpaceDE w:val="0"/>
              <w:autoSpaceDN w:val="0"/>
              <w:adjustRightInd w:val="0"/>
              <w:rPr>
                <w:rFonts w:ascii="Zapf Dingbats" w:hAnsi="Zapf Dingbats" w:cs="Zapf Dingbat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  <w:u w:val="single"/>
              </w:rPr>
              <w:t>__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Letter Grade or S/NC; no petition required 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  <w:u w:val="single"/>
              </w:rPr>
              <w:t>__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S/NC only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6358B" w:rsidRDefault="006635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:rsidR="0066358B" w:rsidRDefault="0066358B" w:rsidP="0066358B">
      <w:pPr>
        <w:widowControl w:val="0"/>
        <w:autoSpaceDE w:val="0"/>
        <w:autoSpaceDN w:val="0"/>
        <w:adjustRightInd w:val="0"/>
        <w:ind w:right="-180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The statements selected below will be added to the Catalog description by the Catalog office: 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Zapf Dingbats" w:hAnsi="Zapf Dingbats" w:cs="Zapf Dingbats"/>
          <w:sz w:val="20"/>
          <w:szCs w:val="20"/>
        </w:rPr>
      </w:pPr>
      <w:r>
        <w:rPr>
          <w:rFonts w:ascii="Zapf Dingbats" w:hAnsi="Zapf Dingbats" w:cs="Zapf Dingbats"/>
          <w:sz w:val="20"/>
          <w:szCs w:val="20"/>
        </w:rPr>
        <w:tab/>
      </w:r>
    </w:p>
    <w:p w:rsidR="0066358B" w:rsidRDefault="0066358B" w:rsidP="0066358B">
      <w:pPr>
        <w:widowControl w:val="0"/>
        <w:autoSpaceDE w:val="0"/>
        <w:autoSpaceDN w:val="0"/>
        <w:adjustRightInd w:val="0"/>
        <w:ind w:firstLine="288"/>
        <w:rPr>
          <w:rFonts w:ascii="Zapf Dingbats" w:hAnsi="Zapf Dingbats" w:cs="Zapf Dingbats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Grading statement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(if required):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Satisfactory (S) or No Credit (NC) grading is not available.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Graded Satisfactory (S) or No Credit (NC).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558" w:hanging="270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</w:t>
      </w:r>
      <w:proofErr w:type="gramStart"/>
      <w:r>
        <w:rPr>
          <w:rFonts w:ascii="Times" w:hAnsi="Times" w:cs="Times"/>
          <w:sz w:val="20"/>
          <w:szCs w:val="20"/>
        </w:rPr>
        <w:t>Normally</w:t>
      </w:r>
      <w:proofErr w:type="gramEnd"/>
      <w:r>
        <w:rPr>
          <w:rFonts w:ascii="Times" w:hAnsi="Times" w:cs="Times"/>
          <w:sz w:val="20"/>
          <w:szCs w:val="20"/>
        </w:rPr>
        <w:t xml:space="preserve"> graded Satisfactory (S) or No Credit (NC), but students may petition the instructor for a letter grade on the basis of assigned extra work or examination.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May be taken Satisfactory (S) or No Credit (NC) with consent of instructor and graduate advisor.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May be taken Satisfactory (S) or No Credit (NC) by students advanced to candidacy for the Ph.D.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288" w:right="-1710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Students who submit a term paper receive a letter grade; other students receive a Satisfactory (S) or No Credit (NC) grade.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Students who present a seminar receive a letter grade; other students receive a Satisfactory (S) or No Credit (NC) grade.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630" w:hanging="34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Students who present a seminar or submit a term paper receive a letter grade; other students receive a Satisfactory (S) or No Credit (NC) grade.</w:t>
      </w:r>
    </w:p>
    <w:p w:rsidR="0066358B" w:rsidRDefault="0066358B" w:rsidP="0066358B">
      <w:pPr>
        <w:widowControl w:val="0"/>
        <w:tabs>
          <w:tab w:val="right" w:pos="9990"/>
        </w:tabs>
        <w:autoSpaceDE w:val="0"/>
        <w:autoSpaceDN w:val="0"/>
        <w:adjustRightInd w:val="0"/>
        <w:spacing w:after="120"/>
        <w:ind w:left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Other: 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firstLine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Repeatability statement </w:t>
      </w:r>
      <w:r>
        <w:rPr>
          <w:rFonts w:ascii="Times" w:hAnsi="Times" w:cs="Times"/>
          <w:sz w:val="20"/>
          <w:szCs w:val="20"/>
        </w:rPr>
        <w:t>(if required):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288"/>
        <w:rPr>
          <w:rFonts w:ascii="Times New Roman" w:hAnsi="Times New Roman" w:cs="Times New Roman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 is repeatable.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Course is repeatable to a maximum of </w:t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Times" w:hAnsi="Times" w:cs="Times"/>
          <w:sz w:val="20"/>
          <w:szCs w:val="20"/>
        </w:rPr>
        <w:t xml:space="preserve"> units.</w:t>
      </w:r>
      <w:r>
        <w:rPr>
          <w:rFonts w:ascii="Times" w:hAnsi="Times" w:cs="Times"/>
          <w:sz w:val="20"/>
          <w:szCs w:val="20"/>
        </w:rPr>
        <w:tab/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Course is repeatable as content changes.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Course is repeatable as content changes to a maximum of </w:t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Times" w:hAnsi="Times" w:cs="Times"/>
          <w:sz w:val="20"/>
          <w:szCs w:val="20"/>
        </w:rPr>
        <w:t xml:space="preserve"> units.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Course is repeatable as topics change.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left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Course is repeatable as topics change to a maximum of </w:t>
      </w:r>
      <w:r>
        <w:rPr>
          <w:rFonts w:ascii="Helvetica" w:hAnsi="Helvetica" w:cs="Helvetica"/>
          <w:sz w:val="20"/>
          <w:szCs w:val="20"/>
          <w:u w:val="single"/>
        </w:rPr>
        <w:t>___</w:t>
      </w:r>
      <w:r>
        <w:rPr>
          <w:rFonts w:ascii="Times" w:hAnsi="Times" w:cs="Times"/>
          <w:sz w:val="20"/>
          <w:szCs w:val="20"/>
        </w:rPr>
        <w:t xml:space="preserve"> units.</w:t>
      </w:r>
    </w:p>
    <w:p w:rsidR="0066358B" w:rsidRDefault="0066358B" w:rsidP="0066358B">
      <w:pPr>
        <w:widowControl w:val="0"/>
        <w:tabs>
          <w:tab w:val="right" w:pos="10080"/>
        </w:tabs>
        <w:autoSpaceDE w:val="0"/>
        <w:autoSpaceDN w:val="0"/>
        <w:adjustRightInd w:val="0"/>
        <w:ind w:left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Other: 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  <w:t xml:space="preserve">If the course is repeatable, may a student take more than one section of the course in a single quarter?   </w:t>
      </w: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Yes   </w:t>
      </w: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No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66358B" w:rsidRDefault="0066358B" w:rsidP="0066358B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 xml:space="preserve">Cross-listing statement: </w:t>
      </w:r>
      <w:r>
        <w:rPr>
          <w:rFonts w:ascii="Times" w:hAnsi="Times" w:cs="Times"/>
          <w:sz w:val="20"/>
          <w:szCs w:val="20"/>
        </w:rPr>
        <w:t xml:space="preserve">Cross-listed with 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>Credit statement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(to limit credit when course content overlaps):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</w:p>
    <w:p w:rsidR="0066358B" w:rsidRDefault="0066358B" w:rsidP="0066358B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 xml:space="preserve">Credit is awarded for only one of 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  <w:t xml:space="preserve">Other 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>Breadth statement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(for CPAC, ETST, FVC, HASS, or WMST courses only):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</w:t>
      </w:r>
      <w:proofErr w:type="gramStart"/>
      <w:r>
        <w:rPr>
          <w:rFonts w:ascii="Times" w:hAnsi="Times" w:cs="Times"/>
          <w:sz w:val="20"/>
          <w:szCs w:val="20"/>
        </w:rPr>
        <w:t>Fulfills</w:t>
      </w:r>
      <w:proofErr w:type="gramEnd"/>
      <w:r>
        <w:rPr>
          <w:rFonts w:ascii="Times" w:hAnsi="Times" w:cs="Times"/>
          <w:sz w:val="20"/>
          <w:szCs w:val="20"/>
        </w:rPr>
        <w:t xml:space="preserve"> the Humanities requirement for the College of Humanities, Arts, and Social Sciences.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</w:t>
      </w:r>
      <w:proofErr w:type="gramStart"/>
      <w:r>
        <w:rPr>
          <w:rFonts w:ascii="Times" w:hAnsi="Times" w:cs="Times"/>
          <w:sz w:val="20"/>
          <w:szCs w:val="20"/>
        </w:rPr>
        <w:t>Fulfills</w:t>
      </w:r>
      <w:proofErr w:type="gramEnd"/>
      <w:r>
        <w:rPr>
          <w:rFonts w:ascii="Times" w:hAnsi="Times" w:cs="Times"/>
          <w:sz w:val="20"/>
          <w:szCs w:val="20"/>
        </w:rPr>
        <w:t xml:space="preserve"> the Social Sciences requirement for the College of Humanities, Arts, and Social Sciences.</w:t>
      </w:r>
    </w:p>
    <w:p w:rsidR="0066358B" w:rsidRDefault="0066358B" w:rsidP="0066358B">
      <w:pPr>
        <w:widowControl w:val="0"/>
        <w:tabs>
          <w:tab w:val="left" w:pos="270"/>
        </w:tabs>
        <w:autoSpaceDE w:val="0"/>
        <w:autoSpaceDN w:val="0"/>
        <w:adjustRightInd w:val="0"/>
        <w:ind w:left="630" w:right="-1890" w:hanging="630"/>
        <w:rPr>
          <w:rFonts w:ascii="Times" w:hAnsi="Times" w:cs="Times"/>
          <w:sz w:val="20"/>
          <w:szCs w:val="20"/>
        </w:rPr>
      </w:pPr>
      <w:r>
        <w:rPr>
          <w:rFonts w:ascii="Zapf Dingbats" w:hAnsi="Zapf Dingbats" w:cs="Zapf Dingbats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</w:t>
      </w:r>
      <w:proofErr w:type="gramStart"/>
      <w:r>
        <w:rPr>
          <w:rFonts w:ascii="Times" w:hAnsi="Times" w:cs="Times"/>
          <w:sz w:val="20"/>
          <w:szCs w:val="20"/>
        </w:rPr>
        <w:t>Fulfills</w:t>
      </w:r>
      <w:proofErr w:type="gramEnd"/>
      <w:r>
        <w:rPr>
          <w:rFonts w:ascii="Times" w:hAnsi="Times" w:cs="Times"/>
          <w:sz w:val="20"/>
          <w:szCs w:val="20"/>
        </w:rPr>
        <w:t xml:space="preserve"> either the Humanities or Social Sciences requirement for the College of Humanities, Arts, and Social Sciences.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Zapf Dingbats" w:hAnsi="Zapf Dingbats" w:cs="Zapf Dingbats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See the Student Affairs Office in the College of Humanities, Arts, and Social Sciences.</w:t>
      </w:r>
    </w:p>
    <w:p w:rsidR="0066358B" w:rsidRDefault="0066358B" w:rsidP="0066358B">
      <w:pPr>
        <w:widowControl w:val="0"/>
        <w:autoSpaceDE w:val="0"/>
        <w:autoSpaceDN w:val="0"/>
        <w:adjustRightInd w:val="0"/>
        <w:ind w:right="-1890"/>
        <w:rPr>
          <w:rFonts w:ascii="Times" w:hAnsi="Times" w:cs="Times"/>
          <w:sz w:val="20"/>
          <w:szCs w:val="20"/>
        </w:rPr>
      </w:pPr>
      <w:r>
        <w:rPr>
          <w:rFonts w:ascii="Zapf Dingbats" w:hAnsi="Zapf Dingbats" w:cs="Zapf Dingbats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</w:t>
      </w:r>
      <w:proofErr w:type="gramStart"/>
      <w:r>
        <w:rPr>
          <w:rFonts w:ascii="Times" w:hAnsi="Times" w:cs="Times"/>
          <w:sz w:val="20"/>
          <w:szCs w:val="20"/>
        </w:rPr>
        <w:t>Does</w:t>
      </w:r>
      <w:proofErr w:type="gramEnd"/>
      <w:r>
        <w:rPr>
          <w:rFonts w:ascii="Times" w:hAnsi="Times" w:cs="Times"/>
          <w:sz w:val="20"/>
          <w:szCs w:val="20"/>
        </w:rPr>
        <w:t xml:space="preserve"> not fulfill the Humanities or Social Sciences requirement for the College of Humanities, Arts, and Social Sciences.</w:t>
      </w:r>
    </w:p>
    <w:p w:rsidR="0066358B" w:rsidRDefault="0066358B" w:rsidP="0066358B">
      <w:pPr>
        <w:widowControl w:val="0"/>
        <w:tabs>
          <w:tab w:val="right" w:pos="10080"/>
        </w:tabs>
        <w:autoSpaceDE w:val="0"/>
        <w:autoSpaceDN w:val="0"/>
        <w:adjustRightInd w:val="0"/>
        <w:ind w:firstLine="270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__</w:t>
      </w:r>
      <w:r>
        <w:rPr>
          <w:rFonts w:ascii="Times" w:hAnsi="Times" w:cs="Times"/>
          <w:sz w:val="20"/>
          <w:szCs w:val="20"/>
        </w:rPr>
        <w:t xml:space="preserve"> Other: 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Zapf Dingbats" w:hAnsi="Zapf Dingbats" w:cs="Zapf Dingbats"/>
          <w:sz w:val="20"/>
          <w:szCs w:val="20"/>
        </w:rPr>
      </w:pPr>
    </w:p>
    <w:p w:rsidR="0066358B" w:rsidRDefault="0066358B" w:rsidP="0066358B">
      <w:pPr>
        <w:widowControl w:val="0"/>
        <w:tabs>
          <w:tab w:val="right" w:pos="10080"/>
        </w:tabs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0"/>
          <w:szCs w:val="20"/>
          <w:u w:val="single"/>
        </w:rPr>
      </w:pPr>
      <w:r>
        <w:rPr>
          <w:rFonts w:ascii="Times" w:hAnsi="Times" w:cs="Times"/>
          <w:sz w:val="20"/>
          <w:szCs w:val="20"/>
        </w:rPr>
        <w:t xml:space="preserve">If the course </w:t>
      </w:r>
      <w:r>
        <w:rPr>
          <w:rFonts w:ascii="Helvetica" w:hAnsi="Helvetica" w:cs="Helvetica"/>
          <w:b/>
          <w:bCs/>
          <w:sz w:val="18"/>
          <w:szCs w:val="18"/>
        </w:rPr>
        <w:t>content overlaps or duplicates the content of another course</w:t>
      </w:r>
      <w:r>
        <w:rPr>
          <w:rFonts w:ascii="Times" w:hAnsi="Times" w:cs="Times"/>
          <w:sz w:val="20"/>
          <w:szCs w:val="20"/>
        </w:rPr>
        <w:t>, describe the overlap or duplication:</w:t>
      </w:r>
      <w:r>
        <w:rPr>
          <w:rFonts w:ascii="Times" w:hAnsi="Times" w:cs="Times"/>
          <w:b/>
          <w:bCs/>
          <w:sz w:val="20"/>
          <w:szCs w:val="20"/>
        </w:rPr>
        <w:t> 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tabs>
          <w:tab w:val="right" w:pos="10080"/>
        </w:tabs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If the course </w:t>
      </w:r>
      <w:r>
        <w:rPr>
          <w:rFonts w:ascii="Helvetica" w:hAnsi="Helvetica" w:cs="Helvetica"/>
          <w:b/>
          <w:bCs/>
          <w:sz w:val="18"/>
          <w:szCs w:val="18"/>
        </w:rPr>
        <w:t>affects degrees, minors, and/or programs</w:t>
      </w:r>
      <w:r>
        <w:rPr>
          <w:rFonts w:ascii="Times" w:hAnsi="Times" w:cs="Times"/>
          <w:sz w:val="20"/>
          <w:szCs w:val="20"/>
        </w:rPr>
        <w:t>, list the affected degrees, etc. and explain how they are affected:</w:t>
      </w:r>
      <w:r>
        <w:rPr>
          <w:rFonts w:ascii="Times" w:hAnsi="Times" w:cs="Times"/>
          <w:b/>
          <w:bCs/>
          <w:sz w:val="20"/>
          <w:szCs w:val="20"/>
        </w:rPr>
        <w:t> 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tabs>
          <w:tab w:val="right" w:pos="10080"/>
        </w:tabs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If the course </w:t>
      </w:r>
      <w:r>
        <w:rPr>
          <w:rFonts w:ascii="Times" w:hAnsi="Times" w:cs="Times"/>
          <w:b/>
          <w:bCs/>
          <w:sz w:val="20"/>
          <w:szCs w:val="20"/>
        </w:rPr>
        <w:t>affects the prerequisites and/or descriptions of other courses</w:t>
      </w:r>
      <w:r>
        <w:rPr>
          <w:rFonts w:ascii="Times" w:hAnsi="Times" w:cs="Times"/>
          <w:sz w:val="20"/>
          <w:szCs w:val="20"/>
        </w:rPr>
        <w:t>, list the affected courses and explain how they are affected:</w:t>
      </w:r>
      <w:r>
        <w:rPr>
          <w:rFonts w:ascii="Times" w:hAnsi="Times" w:cs="Times"/>
          <w:b/>
          <w:bCs/>
          <w:sz w:val="20"/>
          <w:szCs w:val="20"/>
        </w:rPr>
        <w:t> 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tabs>
          <w:tab w:val="right" w:pos="10080"/>
        </w:tabs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sz w:val="20"/>
          <w:szCs w:val="20"/>
        </w:rPr>
        <w:t>Justification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for establishing the course (insert or attach):</w:t>
      </w:r>
      <w:r>
        <w:rPr>
          <w:rFonts w:ascii="Times" w:hAnsi="Times" w:cs="Times"/>
          <w:b/>
          <w:bCs/>
          <w:sz w:val="20"/>
          <w:szCs w:val="20"/>
        </w:rPr>
        <w:t> 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tabs>
          <w:tab w:val="right" w:pos="1008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Syllabus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(insert or attach and include the information below):</w:t>
      </w:r>
      <w:r>
        <w:rPr>
          <w:rFonts w:ascii="Times" w:hAnsi="Times" w:cs="Times"/>
          <w:b/>
          <w:bCs/>
          <w:sz w:val="20"/>
          <w:szCs w:val="20"/>
        </w:rPr>
        <w:t> </w:t>
      </w:r>
      <w:r>
        <w:rPr>
          <w:rFonts w:ascii="Helvetica" w:hAnsi="Helvetica" w:cs="Helvetica"/>
          <w:sz w:val="20"/>
          <w:szCs w:val="20"/>
          <w:u w:val="single"/>
        </w:rPr>
        <w:t>___</w:t>
      </w:r>
    </w:p>
    <w:p w:rsidR="0066358B" w:rsidRDefault="0066358B" w:rsidP="0066358B">
      <w:pPr>
        <w:widowControl w:val="0"/>
        <w:autoSpaceDE w:val="0"/>
        <w:autoSpaceDN w:val="0"/>
        <w:adjustRightInd w:val="0"/>
        <w:spacing w:before="120"/>
        <w:ind w:firstLine="288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Course requirements </w:t>
      </w:r>
      <w:r>
        <w:rPr>
          <w:rFonts w:ascii="Times" w:hAnsi="Times" w:cs="Times"/>
          <w:sz w:val="20"/>
          <w:szCs w:val="20"/>
        </w:rPr>
        <w:t>(e.g., term papers and examinations)</w:t>
      </w:r>
    </w:p>
    <w:p w:rsidR="0066358B" w:rsidRDefault="0066358B" w:rsidP="0066358B">
      <w:pPr>
        <w:widowControl w:val="0"/>
        <w:autoSpaceDE w:val="0"/>
        <w:autoSpaceDN w:val="0"/>
        <w:adjustRightInd w:val="0"/>
        <w:spacing w:before="120"/>
        <w:ind w:left="288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If an activity selected above under </w:t>
      </w:r>
      <w:r>
        <w:rPr>
          <w:rFonts w:ascii="Helvetica" w:hAnsi="Helvetica" w:cs="Helvetica"/>
          <w:b/>
          <w:bCs/>
          <w:sz w:val="18"/>
          <w:szCs w:val="18"/>
        </w:rPr>
        <w:t>“Activities and Hours” does not involve faculty contact</w:t>
      </w:r>
      <w:r>
        <w:rPr>
          <w:rFonts w:ascii="Times" w:hAnsi="Times" w:cs="Times"/>
          <w:sz w:val="20"/>
          <w:szCs w:val="20"/>
        </w:rPr>
        <w:t xml:space="preserve"> (e.g., extra reading, individual study, and outside research), describe the activity and explain how it will be evaluated.</w:t>
      </w:r>
    </w:p>
    <w:p w:rsidR="0066358B" w:rsidRDefault="0066358B" w:rsidP="0066358B">
      <w:pPr>
        <w:widowControl w:val="0"/>
        <w:autoSpaceDE w:val="0"/>
        <w:autoSpaceDN w:val="0"/>
        <w:adjustRightInd w:val="0"/>
        <w:spacing w:before="120"/>
        <w:ind w:right="-1890" w:firstLine="288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If one of the activities selected above is </w:t>
      </w:r>
      <w:r>
        <w:rPr>
          <w:rFonts w:ascii="Helvetica" w:hAnsi="Helvetica" w:cs="Helvetica"/>
          <w:b/>
          <w:bCs/>
          <w:sz w:val="18"/>
          <w:szCs w:val="18"/>
        </w:rPr>
        <w:t>consultation hours</w:t>
      </w:r>
      <w:r>
        <w:rPr>
          <w:rFonts w:ascii="Times" w:hAnsi="Times" w:cs="Times"/>
          <w:sz w:val="20"/>
          <w:szCs w:val="20"/>
        </w:rPr>
        <w:t>, explain how these hours will be implemented and monitored.</w:t>
      </w:r>
    </w:p>
    <w:p w:rsidR="0066358B" w:rsidRDefault="0066358B" w:rsidP="0066358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66358B" w:rsidRDefault="0066358B" w:rsidP="0066358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For further information about course guidelines, see the </w:t>
      </w:r>
      <w:r>
        <w:rPr>
          <w:rFonts w:ascii="Times" w:hAnsi="Times" w:cs="Times"/>
          <w:i/>
          <w:iCs/>
          <w:sz w:val="20"/>
          <w:szCs w:val="20"/>
        </w:rPr>
        <w:t>General Rules and Policies Governing Courses of Instruction</w:t>
      </w:r>
      <w:r>
        <w:rPr>
          <w:rFonts w:ascii="Times" w:hAnsi="Times" w:cs="Times"/>
          <w:sz w:val="20"/>
          <w:szCs w:val="20"/>
        </w:rPr>
        <w:t xml:space="preserve"> at </w:t>
      </w:r>
      <w:r>
        <w:rPr>
          <w:rFonts w:ascii="Helvetica" w:hAnsi="Helvetica" w:cs="Helvetica"/>
          <w:b/>
          <w:bCs/>
          <w:sz w:val="20"/>
          <w:szCs w:val="20"/>
        </w:rPr>
        <w:t>senate.ucr.edu/Committees/courses/guidelines.pdf</w:t>
      </w:r>
    </w:p>
    <w:p w:rsidR="0066358B" w:rsidRDefault="0066358B" w:rsidP="0066358B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14"/>
          <w:szCs w:val="14"/>
        </w:rPr>
      </w:pPr>
    </w:p>
    <w:p w:rsidR="0066358B" w:rsidRDefault="0066358B" w:rsidP="0066358B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14"/>
          <w:szCs w:val="14"/>
        </w:rPr>
      </w:pPr>
    </w:p>
    <w:p w:rsidR="0066358B" w:rsidRDefault="0066358B" w:rsidP="0066358B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</w:rPr>
      </w:pPr>
    </w:p>
    <w:p w:rsidR="00B92521" w:rsidRDefault="00B92521">
      <w:bookmarkStart w:id="0" w:name="_GoBack"/>
      <w:bookmarkEnd w:id="0"/>
    </w:p>
    <w:sectPr w:rsidR="00B92521" w:rsidSect="00127A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8B"/>
    <w:rsid w:val="0066358B"/>
    <w:rsid w:val="00B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1C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Macintosh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Biljan-Wezeman</dc:creator>
  <cp:keywords/>
  <dc:description/>
  <cp:lastModifiedBy>Caitlin Biljan-Wezeman</cp:lastModifiedBy>
  <cp:revision>1</cp:revision>
  <dcterms:created xsi:type="dcterms:W3CDTF">2013-09-05T17:48:00Z</dcterms:created>
  <dcterms:modified xsi:type="dcterms:W3CDTF">2013-09-05T17:48:00Z</dcterms:modified>
</cp:coreProperties>
</file>